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7" w:rsidRDefault="003D2627" w:rsidP="003D2627">
      <w:pPr>
        <w:spacing w:line="276" w:lineRule="auto"/>
        <w:jc w:val="center"/>
        <w:rPr>
          <w:b/>
          <w:i w:val="0"/>
          <w:sz w:val="36"/>
          <w:szCs w:val="36"/>
        </w:rPr>
      </w:pPr>
      <w:r w:rsidRPr="007C1F49">
        <w:rPr>
          <w:b/>
          <w:i w:val="0"/>
          <w:sz w:val="36"/>
          <w:szCs w:val="36"/>
        </w:rPr>
        <w:t>S</w:t>
      </w:r>
      <w:r>
        <w:rPr>
          <w:b/>
          <w:i w:val="0"/>
          <w:sz w:val="36"/>
          <w:szCs w:val="36"/>
        </w:rPr>
        <w:t>PECYFIKACJA TECHNICZNA WYKONANIA</w:t>
      </w:r>
      <w:r w:rsidRPr="007C1F49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</w:rPr>
        <w:t>I</w:t>
      </w:r>
      <w:r w:rsidRPr="007C1F49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</w:rPr>
        <w:t>ODBIORU ROBÓT</w:t>
      </w:r>
      <w:r w:rsidRPr="007C1F49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</w:rPr>
        <w:t>BUDOWLANYCH</w:t>
      </w:r>
    </w:p>
    <w:p w:rsidR="003D2627" w:rsidRDefault="003D2627" w:rsidP="003D2627">
      <w:pPr>
        <w:pStyle w:val="Nagwek2"/>
        <w:numPr>
          <w:ilvl w:val="0"/>
          <w:numId w:val="2"/>
        </w:numPr>
        <w:spacing w:line="276" w:lineRule="auto"/>
      </w:pPr>
      <w:r w:rsidRPr="00962D2C">
        <w:t xml:space="preserve">Część </w:t>
      </w:r>
      <w:r w:rsidRPr="00105C9F">
        <w:t>ogólna</w:t>
      </w:r>
    </w:p>
    <w:p w:rsidR="003D2627" w:rsidRPr="00105C9F" w:rsidRDefault="003D2627" w:rsidP="003D2627">
      <w:pPr>
        <w:pStyle w:val="Nagwek4"/>
        <w:numPr>
          <w:ilvl w:val="1"/>
          <w:numId w:val="1"/>
        </w:numPr>
        <w:spacing w:line="276" w:lineRule="auto"/>
        <w:ind w:left="1038" w:hanging="567"/>
      </w:pPr>
      <w:r w:rsidRPr="00105C9F">
        <w:t>Nazwa nadana zamówieniu przez zamawiającego:</w:t>
      </w:r>
    </w:p>
    <w:p w:rsidR="003D2627" w:rsidRPr="00502D7E" w:rsidRDefault="003D2627" w:rsidP="003D2627">
      <w:pPr>
        <w:spacing w:before="240" w:line="276" w:lineRule="auto"/>
        <w:ind w:left="284" w:firstLine="567"/>
        <w:jc w:val="both"/>
        <w:rPr>
          <w:szCs w:val="24"/>
        </w:rPr>
      </w:pPr>
      <w:r>
        <w:rPr>
          <w:szCs w:val="24"/>
        </w:rPr>
        <w:t>Obiekt: modernizacja drogi dojazdowej do gruntów rolnych w obrębie Nowa Wieś</w:t>
      </w:r>
      <w:r w:rsidRPr="00502D7E">
        <w:rPr>
          <w:szCs w:val="24"/>
        </w:rPr>
        <w:t xml:space="preserve"> gmina Bircza pow. </w:t>
      </w:r>
      <w:r>
        <w:rPr>
          <w:szCs w:val="24"/>
        </w:rPr>
        <w:t>p</w:t>
      </w:r>
      <w:r w:rsidRPr="00502D7E">
        <w:rPr>
          <w:szCs w:val="24"/>
        </w:rPr>
        <w:t>rzemyski.</w:t>
      </w:r>
    </w:p>
    <w:p w:rsidR="003D2627" w:rsidRDefault="003D2627" w:rsidP="003D2627">
      <w:pPr>
        <w:pStyle w:val="Nagwek4"/>
        <w:numPr>
          <w:ilvl w:val="1"/>
          <w:numId w:val="1"/>
        </w:numPr>
        <w:spacing w:line="276" w:lineRule="auto"/>
        <w:ind w:left="1038" w:hanging="567"/>
      </w:pPr>
      <w:r w:rsidRPr="00962D2C">
        <w:t>Przedmiot i zakres robót budowlanych</w:t>
      </w:r>
      <w:r>
        <w:t>:</w:t>
      </w:r>
    </w:p>
    <w:p w:rsidR="003D2627" w:rsidRDefault="003D2627" w:rsidP="003D2627">
      <w:pPr>
        <w:spacing w:before="240" w:line="276" w:lineRule="auto"/>
        <w:ind w:left="284" w:firstLine="567"/>
      </w:pPr>
      <w:r w:rsidRPr="00502D7E">
        <w:t>Przedmiotem niniejszej ST są wymagania dotyczące robót budowlanych pole</w:t>
      </w:r>
      <w:r>
        <w:t>gających modernizacji drogi rolniczej</w:t>
      </w:r>
      <w:r w:rsidRPr="00502D7E">
        <w:t xml:space="preserve"> a mianowicie:</w:t>
      </w:r>
    </w:p>
    <w:p w:rsidR="003D2627" w:rsidRDefault="003D2627" w:rsidP="003D2627">
      <w:pPr>
        <w:spacing w:before="240" w:line="276" w:lineRule="auto"/>
        <w:ind w:left="284" w:firstLine="567"/>
        <w:rPr>
          <w:b/>
        </w:rPr>
      </w:pPr>
      <w:r>
        <w:rPr>
          <w:b/>
        </w:rPr>
        <w:t>W km 0+000 – 0+200</w:t>
      </w:r>
      <w:r w:rsidRPr="00A638BF">
        <w:rPr>
          <w:b/>
        </w:rPr>
        <w:t xml:space="preserve"> droga rolnicza</w:t>
      </w:r>
      <w:r>
        <w:rPr>
          <w:b/>
        </w:rPr>
        <w:t xml:space="preserve"> obręb Nowa Wieś gm. Bircza</w:t>
      </w:r>
    </w:p>
    <w:p w:rsidR="003D2627" w:rsidRPr="006061CB" w:rsidRDefault="003D2627" w:rsidP="003D2627">
      <w:pPr>
        <w:pStyle w:val="Akapitzlist"/>
        <w:numPr>
          <w:ilvl w:val="0"/>
          <w:numId w:val="3"/>
        </w:numPr>
        <w:spacing w:line="276" w:lineRule="auto"/>
        <w:ind w:left="473" w:hanging="218"/>
        <w:jc w:val="both"/>
        <w:rPr>
          <w:rFonts w:ascii="Arial" w:hAnsi="Arial" w:cs="Arial"/>
        </w:rPr>
      </w:pPr>
      <w:r>
        <w:t xml:space="preserve">mechaniczne korytowanie terenu (istniejącego pasa drogi), głębokość 20 cm równiarką samojezdną ze ścięciem nierówności - </w:t>
      </w:r>
      <w:r w:rsidRPr="006061CB">
        <w:rPr>
          <w:b/>
        </w:rPr>
        <w:t>460 m</w:t>
      </w:r>
      <w:r w:rsidRPr="006061CB">
        <w:rPr>
          <w:b/>
          <w:vertAlign w:val="superscript"/>
        </w:rPr>
        <w:t>2</w:t>
      </w:r>
      <w:r w:rsidRPr="006061CB">
        <w:t>,</w:t>
      </w:r>
    </w:p>
    <w:p w:rsidR="003D2627" w:rsidRPr="006061CB" w:rsidRDefault="003D2627" w:rsidP="003D2627">
      <w:pPr>
        <w:pStyle w:val="Akapitzlist"/>
        <w:numPr>
          <w:ilvl w:val="0"/>
          <w:numId w:val="3"/>
        </w:numPr>
        <w:spacing w:line="276" w:lineRule="auto"/>
        <w:ind w:left="473" w:hanging="218"/>
        <w:jc w:val="both"/>
        <w:rPr>
          <w:rFonts w:ascii="Arial" w:hAnsi="Arial" w:cs="Arial"/>
        </w:rPr>
      </w:pPr>
      <w:r>
        <w:t xml:space="preserve">profilowanie mechaniczne oraz zagęszczenie podłoża pod warstwy konstrukcyjne- </w:t>
      </w:r>
      <w:r w:rsidRPr="006061CB">
        <w:rPr>
          <w:b/>
        </w:rPr>
        <w:t>460 m</w:t>
      </w:r>
      <w:r w:rsidRPr="006061CB">
        <w:rPr>
          <w:b/>
          <w:vertAlign w:val="superscript"/>
        </w:rPr>
        <w:t>2</w:t>
      </w:r>
      <w:r w:rsidRPr="006061CB">
        <w:t>,</w:t>
      </w:r>
    </w:p>
    <w:p w:rsidR="003D2627" w:rsidRPr="006061CB" w:rsidRDefault="003D2627" w:rsidP="003D2627">
      <w:pPr>
        <w:pStyle w:val="Akapitzlist"/>
        <w:numPr>
          <w:ilvl w:val="0"/>
          <w:numId w:val="3"/>
        </w:numPr>
        <w:spacing w:line="276" w:lineRule="auto"/>
        <w:ind w:left="473" w:hanging="218"/>
        <w:jc w:val="both"/>
        <w:rPr>
          <w:rFonts w:ascii="Arial" w:hAnsi="Arial" w:cs="Arial"/>
        </w:rPr>
      </w:pPr>
      <w:r>
        <w:t xml:space="preserve">wykonanie podbudowy żwirowej, warstwa dolna rozściełana mechanicznie, grubość warstwy po zagęszczeniu </w:t>
      </w:r>
      <w:r>
        <w:rPr>
          <w:b/>
        </w:rPr>
        <w:t xml:space="preserve">10 cm </w:t>
      </w:r>
      <w:r w:rsidRPr="002F7AB5">
        <w:t>-</w:t>
      </w:r>
      <w:r>
        <w:rPr>
          <w:b/>
        </w:rPr>
        <w:t xml:space="preserve"> </w:t>
      </w:r>
      <w:r w:rsidRPr="006061CB">
        <w:rPr>
          <w:b/>
        </w:rPr>
        <w:t>460 m</w:t>
      </w:r>
      <w:r w:rsidRPr="006061CB">
        <w:rPr>
          <w:b/>
          <w:vertAlign w:val="superscript"/>
        </w:rPr>
        <w:t>2</w:t>
      </w:r>
      <w:r w:rsidRPr="006061CB">
        <w:t>,</w:t>
      </w:r>
    </w:p>
    <w:p w:rsidR="003D2627" w:rsidRPr="006061CB" w:rsidRDefault="003D2627" w:rsidP="003D2627">
      <w:pPr>
        <w:pStyle w:val="Akapitzlist"/>
        <w:numPr>
          <w:ilvl w:val="0"/>
          <w:numId w:val="3"/>
        </w:numPr>
        <w:spacing w:line="276" w:lineRule="auto"/>
        <w:ind w:left="473" w:hanging="218"/>
        <w:jc w:val="both"/>
        <w:rPr>
          <w:rFonts w:ascii="Arial" w:hAnsi="Arial" w:cs="Arial"/>
        </w:rPr>
      </w:pPr>
      <w:r>
        <w:t xml:space="preserve">układanie płyt ażurowych o pow. do </w:t>
      </w:r>
      <w:r>
        <w:rPr>
          <w:b/>
        </w:rPr>
        <w:t>1m</w:t>
      </w:r>
      <w:r>
        <w:rPr>
          <w:b/>
          <w:vertAlign w:val="superscript"/>
        </w:rPr>
        <w:t>2</w:t>
      </w:r>
      <w:r>
        <w:t xml:space="preserve"> w 2-ch pasach o szerokości 1 m każdy (nawierzchnia jezdni) </w:t>
      </w:r>
      <w:r w:rsidRPr="00DD73E5">
        <w:rPr>
          <w:b/>
        </w:rPr>
        <w:t>4</w:t>
      </w:r>
      <w:r w:rsidRPr="006061CB">
        <w:rPr>
          <w:b/>
        </w:rPr>
        <w:t>00m</w:t>
      </w:r>
      <w:r w:rsidRPr="006061CB">
        <w:rPr>
          <w:b/>
          <w:vertAlign w:val="superscript"/>
        </w:rPr>
        <w:t>2</w:t>
      </w:r>
      <w:r w:rsidRPr="006061CB">
        <w:t>,</w:t>
      </w:r>
    </w:p>
    <w:p w:rsidR="003D2627" w:rsidRPr="00D62115" w:rsidRDefault="003D2627" w:rsidP="003D2627">
      <w:pPr>
        <w:pStyle w:val="Akapitzlist"/>
        <w:numPr>
          <w:ilvl w:val="0"/>
          <w:numId w:val="3"/>
        </w:numPr>
        <w:spacing w:line="276" w:lineRule="auto"/>
        <w:ind w:left="473" w:hanging="218"/>
        <w:jc w:val="both"/>
        <w:rPr>
          <w:rFonts w:ascii="Arial" w:hAnsi="Arial" w:cs="Arial"/>
        </w:rPr>
      </w:pPr>
      <w:r>
        <w:t xml:space="preserve">roboty ziemne wykonywane koparkami podsiębiernymi (konserwacja rowu przydrożnego) </w:t>
      </w:r>
      <w:r>
        <w:rPr>
          <w:b/>
        </w:rPr>
        <w:t>6</w:t>
      </w:r>
      <w:r w:rsidRPr="006061CB">
        <w:rPr>
          <w:b/>
        </w:rPr>
        <w:t>0 m</w:t>
      </w:r>
      <w:r w:rsidRPr="006061CB">
        <w:rPr>
          <w:b/>
          <w:vertAlign w:val="superscript"/>
        </w:rPr>
        <w:t>3</w:t>
      </w:r>
      <w:r w:rsidRPr="006061CB">
        <w:t>,</w:t>
      </w:r>
    </w:p>
    <w:p w:rsidR="003D2627" w:rsidRPr="009F1A40" w:rsidRDefault="003D2627" w:rsidP="003D2627">
      <w:pPr>
        <w:pStyle w:val="Akapitzlist"/>
        <w:numPr>
          <w:ilvl w:val="0"/>
          <w:numId w:val="3"/>
        </w:numPr>
        <w:spacing w:after="120" w:line="276" w:lineRule="auto"/>
        <w:ind w:left="470" w:hanging="215"/>
        <w:jc w:val="both"/>
        <w:rPr>
          <w:rFonts w:ascii="Arial" w:hAnsi="Arial" w:cs="Arial"/>
        </w:rPr>
      </w:pPr>
      <w:r>
        <w:t xml:space="preserve">rozplantowanie pozostałego urobku z wykopów - </w:t>
      </w:r>
      <w:r>
        <w:rPr>
          <w:b/>
        </w:rPr>
        <w:t>11</w:t>
      </w:r>
      <w:r w:rsidRPr="00D62115">
        <w:rPr>
          <w:b/>
        </w:rPr>
        <w:t xml:space="preserve">6 </w:t>
      </w:r>
      <w:r w:rsidRPr="006061CB">
        <w:rPr>
          <w:b/>
        </w:rPr>
        <w:t>m</w:t>
      </w:r>
      <w:r w:rsidRPr="006061CB">
        <w:rPr>
          <w:b/>
          <w:vertAlign w:val="superscript"/>
        </w:rPr>
        <w:t>2</w:t>
      </w:r>
    </w:p>
    <w:p w:rsidR="003D2627" w:rsidRPr="009F1A40" w:rsidRDefault="003D2627" w:rsidP="003D262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F1A40">
        <w:rPr>
          <w:rFonts w:ascii="Arial" w:hAnsi="Arial" w:cs="Arial"/>
          <w:b/>
        </w:rPr>
        <w:t>UWAGA!!!</w:t>
      </w:r>
    </w:p>
    <w:p w:rsidR="003D2627" w:rsidRPr="00CC68D9" w:rsidRDefault="003D2627" w:rsidP="003D26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F1A40">
        <w:rPr>
          <w:rFonts w:ascii="Arial" w:hAnsi="Arial" w:cs="Arial"/>
          <w:b/>
        </w:rPr>
        <w:t>Inwestor dostarcza 200 szt. płyty IOMB 100 x 75 x 12,5</w:t>
      </w:r>
    </w:p>
    <w:p w:rsidR="003D2627" w:rsidRPr="005B5F32" w:rsidRDefault="003D2627" w:rsidP="003D2627">
      <w:pPr>
        <w:pStyle w:val="Nagwek4"/>
        <w:numPr>
          <w:ilvl w:val="1"/>
          <w:numId w:val="1"/>
        </w:numPr>
        <w:ind w:left="1038" w:hanging="567"/>
      </w:pPr>
      <w:r w:rsidRPr="005B5F32">
        <w:t>Wyszczególnienie i opis prac towarzyszących i robót tymczasowych:</w:t>
      </w:r>
    </w:p>
    <w:p w:rsidR="003D2627" w:rsidRDefault="003D2627" w:rsidP="003D2627">
      <w:pPr>
        <w:spacing w:before="240"/>
        <w:ind w:left="283"/>
      </w:pPr>
      <w:r>
        <w:t>Prace towarzyszące i tymczasowe nie występują.</w:t>
      </w:r>
    </w:p>
    <w:p w:rsidR="003D2627" w:rsidRDefault="003D2627" w:rsidP="003D2627">
      <w:pPr>
        <w:pStyle w:val="Nagwek4"/>
        <w:numPr>
          <w:ilvl w:val="1"/>
          <w:numId w:val="1"/>
        </w:numPr>
        <w:ind w:left="1038" w:hanging="567"/>
      </w:pPr>
      <w:r w:rsidRPr="00962D2C">
        <w:t>Informacje o terenie budowy zawierające</w:t>
      </w:r>
      <w:r>
        <w:t xml:space="preserve"> </w:t>
      </w:r>
      <w:r w:rsidRPr="00962D2C">
        <w:t>wszystkie niezbędne dane istotne z punktu widzenia: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położenia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 xml:space="preserve"> miejscowość Nowa Wieś Gmina Bircza pow. przemyski.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organizacja robót budowlanych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Roboty należy wykonywać w kolejności zgodnej z przedmiarem robót.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zabezpieczenie interesów osób trzecich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Funkcjonowanie przyległego terenu po wykonaniu zadania nie zostaje zmienione.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lastRenderedPageBreak/>
        <w:t>ochrony środowiska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Wykonywane roboty nie będą mieć wpływu na świat ludzki, zwierzęcy, roślinny.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warunków bezpieczeństwa pracy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Ogólne zasady BHP w budownictwie.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zaplecza dla potrzeb wykonawcy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zachodzi konieczność budowy zaplecza dla wykonawcy.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ogrodzenia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Zabezpieczenie chodników i jezdni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Default="003D2627" w:rsidP="003D2627">
      <w:pPr>
        <w:pStyle w:val="Nagwek4"/>
        <w:tabs>
          <w:tab w:val="left" w:pos="-4253"/>
        </w:tabs>
      </w:pPr>
    </w:p>
    <w:p w:rsidR="003D2627" w:rsidRDefault="003D2627" w:rsidP="003D2627">
      <w:pPr>
        <w:pStyle w:val="Nagwek4"/>
        <w:numPr>
          <w:ilvl w:val="1"/>
          <w:numId w:val="1"/>
        </w:numPr>
        <w:ind w:left="1038" w:hanging="567"/>
      </w:pPr>
      <w:r w:rsidRPr="00962D2C">
        <w:t>Określenia podstawowe, zawierające definicję pojęć i określeń nigdzie wcześniej nie zdefiniowanych a wymagających zdefiniowania w celu jednoznacznego zrozumienia zapisów dokumentacji projektowej i specyfikacji technicz</w:t>
      </w:r>
      <w:r>
        <w:t>nej wykonania robót budowlanych:</w:t>
      </w:r>
    </w:p>
    <w:p w:rsidR="003D2627" w:rsidRDefault="003D2627" w:rsidP="003D2627">
      <w:pPr>
        <w:spacing w:before="240" w:line="276" w:lineRule="auto"/>
        <w:ind w:left="641"/>
      </w:pPr>
      <w:r>
        <w:t>Nie dotyczy.</w:t>
      </w:r>
    </w:p>
    <w:p w:rsidR="003D2627" w:rsidRDefault="003D2627" w:rsidP="003D2627">
      <w:pPr>
        <w:pStyle w:val="Nagwek2"/>
        <w:numPr>
          <w:ilvl w:val="0"/>
          <w:numId w:val="1"/>
        </w:numPr>
      </w:pPr>
      <w:r>
        <w:t>Materiały</w:t>
      </w:r>
    </w:p>
    <w:p w:rsidR="003D2627" w:rsidRDefault="003D2627" w:rsidP="003D2627">
      <w:pPr>
        <w:pStyle w:val="Nagwek4"/>
        <w:numPr>
          <w:ilvl w:val="1"/>
          <w:numId w:val="1"/>
        </w:numPr>
        <w:ind w:left="1038" w:hanging="567"/>
      </w:pPr>
      <w:r>
        <w:t>Wymagania dotyczące właściwości wyrobów budowlanych:</w:t>
      </w:r>
    </w:p>
    <w:p w:rsidR="003D2627" w:rsidRPr="004F1679" w:rsidRDefault="003D2627" w:rsidP="003D2627">
      <w:pPr>
        <w:spacing w:before="240"/>
        <w:ind w:left="284" w:firstLine="567"/>
      </w:pPr>
      <w:r>
        <w:t>Wykonawca dostarczy atesty na materiały użyte do budowy.</w:t>
      </w:r>
    </w:p>
    <w:p w:rsidR="003D2627" w:rsidRDefault="003D2627" w:rsidP="003D2627">
      <w:pPr>
        <w:pStyle w:val="Nagwek4"/>
        <w:numPr>
          <w:ilvl w:val="1"/>
          <w:numId w:val="1"/>
        </w:numPr>
        <w:tabs>
          <w:tab w:val="left" w:pos="-4253"/>
        </w:tabs>
        <w:ind w:left="1038" w:hanging="567"/>
      </w:pPr>
      <w:r>
        <w:t>Poszczególne wymagania odnoszą się do postanowień, norm oraz niezbędne wymagania związane z ich: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przechowywaniem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transportem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warunkami dostawy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składowaniem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lastRenderedPageBreak/>
        <w:t>kontrolą jakości</w:t>
      </w:r>
      <w:r w:rsidRPr="005B5F32">
        <w:rPr>
          <w:b/>
        </w:rPr>
        <w:t>:</w:t>
      </w:r>
    </w:p>
    <w:p w:rsidR="003D2627" w:rsidRPr="005B5F32" w:rsidRDefault="003D2627" w:rsidP="003D2627">
      <w:pPr>
        <w:ind w:left="643"/>
      </w:pPr>
      <w:r>
        <w:t>Nie dotyczy.</w:t>
      </w:r>
    </w:p>
    <w:p w:rsidR="003D2627" w:rsidRDefault="003D2627" w:rsidP="003D2627">
      <w:pPr>
        <w:pStyle w:val="Nagwek2"/>
        <w:numPr>
          <w:ilvl w:val="0"/>
          <w:numId w:val="1"/>
        </w:numPr>
      </w:pPr>
      <w:r>
        <w:t>Sprzęt</w:t>
      </w:r>
    </w:p>
    <w:p w:rsidR="003D2627" w:rsidRPr="00BB5871" w:rsidRDefault="003D2627" w:rsidP="003D2627">
      <w:pPr>
        <w:pStyle w:val="Nagwek4"/>
        <w:numPr>
          <w:ilvl w:val="1"/>
          <w:numId w:val="1"/>
        </w:numPr>
        <w:ind w:left="1038" w:hanging="567"/>
      </w:pPr>
      <w:r w:rsidRPr="006C0E16">
        <w:t>Wymagania dotyczące sprzętu i maszyn niezbędnych lub zalecanych do wykonania robót budowlanych zgodnie z założoną</w:t>
      </w:r>
      <w:r>
        <w:t xml:space="preserve"> </w:t>
      </w:r>
      <w:r w:rsidRPr="006C0E16">
        <w:t>jakością</w:t>
      </w:r>
    </w:p>
    <w:p w:rsidR="003D2627" w:rsidRPr="00BF56E1" w:rsidRDefault="003D2627" w:rsidP="003D2627">
      <w:pPr>
        <w:spacing w:before="240"/>
        <w:ind w:left="284" w:firstLine="567"/>
        <w:jc w:val="both"/>
        <w:rPr>
          <w:rFonts w:ascii="Arial" w:hAnsi="Arial" w:cs="Arial"/>
        </w:rPr>
      </w:pPr>
      <w:r w:rsidRPr="006C0E16">
        <w:t>Wykonanie robót zabezpieczających odbywać się będzie przy pomocy koparki j</w:t>
      </w:r>
      <w:r>
        <w:t>ednonaczyniowej o poj. łyżki 0.6</w:t>
      </w:r>
      <w:r w:rsidRPr="006C0E16">
        <w:t>0</w:t>
      </w:r>
      <w:r>
        <w:t xml:space="preserve"> </w:t>
      </w:r>
      <w:r w:rsidRPr="006C0E16">
        <w:t>m</w:t>
      </w:r>
      <w:r>
        <w:rPr>
          <w:vertAlign w:val="superscript"/>
        </w:rPr>
        <w:t>3</w:t>
      </w:r>
      <w:r>
        <w:t xml:space="preserve">, równiarki samojezdnej, walca statycznego i dynamicznego, spycharki gąsienicowej </w:t>
      </w:r>
      <w:r w:rsidRPr="006C0E16">
        <w:t>oraz ręcznie</w:t>
      </w:r>
      <w:r>
        <w:t xml:space="preserve">. roboty </w:t>
      </w:r>
      <w:proofErr w:type="spellStart"/>
      <w:r>
        <w:t>układkowe</w:t>
      </w:r>
      <w:proofErr w:type="spellEnd"/>
      <w:r>
        <w:t xml:space="preserve"> prowadzone będą przy pomocy dźwigu - żurawia hydraulicznego</w:t>
      </w:r>
    </w:p>
    <w:p w:rsidR="003D2627" w:rsidRPr="004F1679" w:rsidRDefault="003D2627" w:rsidP="003D2627">
      <w:pPr>
        <w:pStyle w:val="Nagwek2"/>
        <w:numPr>
          <w:ilvl w:val="0"/>
          <w:numId w:val="1"/>
        </w:numPr>
      </w:pPr>
      <w:r>
        <w:t>Transport</w:t>
      </w:r>
    </w:p>
    <w:p w:rsidR="003D2627" w:rsidRPr="006C0E16" w:rsidRDefault="003D2627" w:rsidP="003D2627">
      <w:pPr>
        <w:pStyle w:val="Nagwek4"/>
        <w:numPr>
          <w:ilvl w:val="1"/>
          <w:numId w:val="1"/>
        </w:numPr>
        <w:ind w:left="1038" w:hanging="567"/>
        <w:rPr>
          <w:szCs w:val="30"/>
        </w:rPr>
      </w:pPr>
      <w:r w:rsidRPr="006C0E16">
        <w:t>Wymagania dotyczące środków transportu.</w:t>
      </w:r>
    </w:p>
    <w:p w:rsidR="003D2627" w:rsidRDefault="003D2627" w:rsidP="003D2627">
      <w:pPr>
        <w:spacing w:before="240"/>
        <w:ind w:left="284" w:firstLine="567"/>
      </w:pPr>
      <w:r>
        <w:t>Roboty należy wykonywać zgodnie z przedmiarem robót.</w:t>
      </w:r>
    </w:p>
    <w:p w:rsidR="003D2627" w:rsidRDefault="003D2627" w:rsidP="003D2627">
      <w:pPr>
        <w:pStyle w:val="Nagwek2"/>
        <w:numPr>
          <w:ilvl w:val="0"/>
          <w:numId w:val="1"/>
        </w:numPr>
      </w:pPr>
      <w:r>
        <w:t>Wykonanie robót</w:t>
      </w:r>
    </w:p>
    <w:p w:rsidR="003D2627" w:rsidRDefault="003D2627" w:rsidP="003D2627">
      <w:pPr>
        <w:pStyle w:val="Nagwek4"/>
        <w:numPr>
          <w:ilvl w:val="1"/>
          <w:numId w:val="1"/>
        </w:numPr>
        <w:ind w:left="1038" w:hanging="567"/>
      </w:pPr>
      <w:r>
        <w:t>Wymagania dotyczące wykonania robót budowlanych: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tolerancji wymiarów</w:t>
      </w:r>
      <w:r w:rsidRPr="00783C05">
        <w:rPr>
          <w:b/>
        </w:rPr>
        <w:t>:</w:t>
      </w:r>
    </w:p>
    <w:p w:rsidR="003D2627" w:rsidRDefault="003D2627" w:rsidP="003D2627">
      <w:pPr>
        <w:ind w:left="284" w:firstLine="567"/>
        <w:jc w:val="both"/>
      </w:pPr>
      <w:r>
        <w:t>Obmiary robót w jednostkach miary podanych w przedmiarze robót z dokładnością do   1 m, 1 m</w:t>
      </w:r>
      <w:r>
        <w:rPr>
          <w:vertAlign w:val="superscript"/>
        </w:rPr>
        <w:t>2</w:t>
      </w:r>
      <w:r>
        <w:t>, 0,1 m</w:t>
      </w:r>
      <w:r>
        <w:rPr>
          <w:vertAlign w:val="superscript"/>
        </w:rPr>
        <w:t>3</w:t>
      </w:r>
      <w:r>
        <w:t>lub 1 szt.</w:t>
      </w:r>
    </w:p>
    <w:p w:rsidR="003D2627" w:rsidRDefault="003D2627" w:rsidP="003D2627">
      <w:pPr>
        <w:pStyle w:val="Nagwek2"/>
        <w:numPr>
          <w:ilvl w:val="0"/>
          <w:numId w:val="1"/>
        </w:numPr>
      </w:pPr>
      <w:r>
        <w:t>Wymagania specjalne</w:t>
      </w:r>
    </w:p>
    <w:p w:rsidR="003D2627" w:rsidRPr="00726F7F" w:rsidRDefault="003D2627" w:rsidP="003D2627">
      <w:pPr>
        <w:pStyle w:val="Nagwek4"/>
        <w:numPr>
          <w:ilvl w:val="1"/>
          <w:numId w:val="1"/>
        </w:numPr>
        <w:ind w:left="1038" w:hanging="567"/>
        <w:rPr>
          <w:szCs w:val="30"/>
        </w:rPr>
      </w:pPr>
      <w:r>
        <w:t xml:space="preserve">Opis </w:t>
      </w:r>
      <w:r w:rsidRPr="00726F7F">
        <w:t>działań związanych z kontrolą, badaniami oraz odbiorem wyrobów i robót budowlanych w nawiązaniu do dokumentów odniesienia:</w:t>
      </w:r>
    </w:p>
    <w:p w:rsidR="003D2627" w:rsidRDefault="003D2627" w:rsidP="003D2627">
      <w:pPr>
        <w:spacing w:before="240"/>
        <w:ind w:left="284" w:firstLine="567"/>
        <w:jc w:val="both"/>
      </w:pPr>
      <w:r w:rsidRPr="00726F7F">
        <w:t xml:space="preserve">Odbiór dokonywany jest na zasadzie odbioru robót </w:t>
      </w:r>
      <w:r>
        <w:t xml:space="preserve">zanikających oraz na warunkach </w:t>
      </w:r>
      <w:r w:rsidRPr="00726F7F">
        <w:t>kreślonych umową. Robot</w:t>
      </w:r>
      <w:r>
        <w:t>y nie przedmiarowe nie występują.</w:t>
      </w:r>
    </w:p>
    <w:p w:rsidR="003D2627" w:rsidRDefault="003D2627" w:rsidP="003D2627">
      <w:pPr>
        <w:pStyle w:val="Nagwek2"/>
        <w:numPr>
          <w:ilvl w:val="1"/>
          <w:numId w:val="1"/>
        </w:numPr>
        <w:ind w:left="1038" w:hanging="567"/>
      </w:pPr>
      <w:r>
        <w:t>Wymagania dotyczące przedmiar i obmiaru robót:</w:t>
      </w:r>
    </w:p>
    <w:p w:rsidR="003D2627" w:rsidRDefault="003D2627" w:rsidP="003D2627">
      <w:pPr>
        <w:spacing w:before="240"/>
        <w:ind w:left="284"/>
        <w:jc w:val="both"/>
      </w:pPr>
      <w:r w:rsidRPr="003E0451">
        <w:t>Poszczególne jednostki obmiaru wykonywanych rob</w:t>
      </w:r>
      <w:r>
        <w:t>ót podane są w przedmiarze robó</w:t>
      </w:r>
      <w:r w:rsidRPr="003E0451">
        <w:t>t.</w:t>
      </w:r>
    </w:p>
    <w:p w:rsidR="003D2627" w:rsidRPr="003E0451" w:rsidRDefault="003D2627" w:rsidP="003D2627">
      <w:pPr>
        <w:pStyle w:val="Nagwek2"/>
        <w:numPr>
          <w:ilvl w:val="1"/>
          <w:numId w:val="1"/>
        </w:numPr>
        <w:spacing w:before="240"/>
        <w:ind w:left="1038" w:hanging="567"/>
      </w:pPr>
      <w:r>
        <w:t>Opis sposobu odbioru robót budowlanych:</w:t>
      </w:r>
    </w:p>
    <w:p w:rsidR="003D2627" w:rsidRDefault="003D2627" w:rsidP="003D2627">
      <w:pPr>
        <w:spacing w:before="240"/>
        <w:ind w:left="284" w:firstLine="567"/>
        <w:jc w:val="both"/>
      </w:pPr>
      <w:r w:rsidRPr="00DD06E1">
        <w:t>Odbiory robót dokonywane są na zasadach robót zanikających oraz określonych umową.</w:t>
      </w:r>
    </w:p>
    <w:p w:rsidR="003D2627" w:rsidRPr="00DD06E1" w:rsidRDefault="003D2627" w:rsidP="003D2627">
      <w:pPr>
        <w:pStyle w:val="Nagwek2"/>
        <w:numPr>
          <w:ilvl w:val="1"/>
          <w:numId w:val="1"/>
        </w:numPr>
        <w:ind w:left="1038" w:hanging="567"/>
      </w:pPr>
      <w:r>
        <w:t>Opis rozliczenia robót tymczasowych i prac towarzyszących:</w:t>
      </w:r>
    </w:p>
    <w:p w:rsidR="003D2627" w:rsidRDefault="003D2627" w:rsidP="003D2627">
      <w:pPr>
        <w:spacing w:before="240"/>
        <w:ind w:left="641"/>
      </w:pPr>
      <w:r>
        <w:t>Nie dotyczy.</w:t>
      </w:r>
    </w:p>
    <w:p w:rsidR="003D2627" w:rsidRDefault="003D2627" w:rsidP="003D2627">
      <w:pPr>
        <w:pStyle w:val="Nagwek2"/>
        <w:numPr>
          <w:ilvl w:val="1"/>
          <w:numId w:val="1"/>
        </w:numPr>
        <w:ind w:left="1038" w:hanging="567"/>
      </w:pPr>
      <w:r>
        <w:lastRenderedPageBreak/>
        <w:t>Dokumenty odniesienia – dokumenty będące podstawą do wykonania robót budowlanych w tym: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normy</w:t>
      </w:r>
      <w:r w:rsidRPr="005B5F32">
        <w:rPr>
          <w:b/>
        </w:rPr>
        <w:t>:</w:t>
      </w:r>
    </w:p>
    <w:p w:rsidR="003D2627" w:rsidRDefault="003D2627" w:rsidP="003D2627">
      <w:pPr>
        <w:ind w:left="641"/>
        <w:rPr>
          <w:i w:val="0"/>
        </w:rPr>
      </w:pPr>
      <w:r w:rsidRPr="001175F1">
        <w:rPr>
          <w:i w:val="0"/>
        </w:rPr>
        <w:t>PN-68/B-06050</w:t>
      </w:r>
      <w:r>
        <w:rPr>
          <w:i w:val="0"/>
        </w:rPr>
        <w:t xml:space="preserve"> Roboty ziemne i budowlane. Wymagania w zakresie wykonywania i badania przy odbiorze.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aprobaty techniczne</w:t>
      </w:r>
      <w:r w:rsidRPr="005B5F32">
        <w:rPr>
          <w:b/>
        </w:rPr>
        <w:t>:</w:t>
      </w:r>
    </w:p>
    <w:p w:rsidR="003D2627" w:rsidRDefault="003D2627" w:rsidP="003D2627">
      <w:pPr>
        <w:ind w:left="641"/>
      </w:pPr>
      <w:r w:rsidRPr="001175F1"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inne dokumenty i ustalenia techniczne</w:t>
      </w:r>
      <w:r w:rsidRPr="005B5F32">
        <w:rPr>
          <w:b/>
        </w:rPr>
        <w:t>:</w:t>
      </w:r>
    </w:p>
    <w:p w:rsidR="003D2627" w:rsidRDefault="003D2627" w:rsidP="003D2627">
      <w:pPr>
        <w:ind w:left="641"/>
      </w:pPr>
      <w:r w:rsidRPr="001175F1">
        <w:t>Nie dotyczy.</w:t>
      </w:r>
    </w:p>
    <w:p w:rsidR="003D2627" w:rsidRPr="005B5F32" w:rsidRDefault="003D2627" w:rsidP="003D2627">
      <w:pPr>
        <w:pStyle w:val="Akapitzlist"/>
        <w:numPr>
          <w:ilvl w:val="0"/>
          <w:numId w:val="4"/>
        </w:numPr>
      </w:pPr>
      <w:r>
        <w:rPr>
          <w:b/>
        </w:rPr>
        <w:t>prace towarzysz</w:t>
      </w:r>
      <w:r w:rsidRPr="00F3661A">
        <w:rPr>
          <w:b/>
        </w:rPr>
        <w:t>ące (są to prace niezbędne do wykonania robót podstawowych niezaliczane do robót tymczasowych w tym geodezyjne wytyczanie i inwentaryzacja powykonawcza)</w:t>
      </w:r>
      <w:r>
        <w:rPr>
          <w:b/>
        </w:rPr>
        <w:t xml:space="preserve"> </w:t>
      </w:r>
      <w:r w:rsidRPr="005B5F32">
        <w:rPr>
          <w:b/>
        </w:rPr>
        <w:t>:</w:t>
      </w:r>
    </w:p>
    <w:p w:rsidR="003D2627" w:rsidRPr="001175F1" w:rsidRDefault="003D2627" w:rsidP="003D2627">
      <w:pPr>
        <w:ind w:left="641"/>
        <w:rPr>
          <w:color w:val="000000"/>
          <w:spacing w:val="-5"/>
          <w:w w:val="134"/>
          <w:sz w:val="30"/>
          <w:szCs w:val="30"/>
        </w:rPr>
      </w:pPr>
      <w:r w:rsidRPr="001175F1">
        <w:t>Nie dotyczy.</w:t>
      </w:r>
    </w:p>
    <w:p w:rsidR="00EF4938" w:rsidRDefault="003D2627">
      <w:bookmarkStart w:id="0" w:name="_GoBack"/>
      <w:bookmarkEnd w:id="0"/>
    </w:p>
    <w:sectPr w:rsidR="00EF4938" w:rsidSect="00584400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151"/>
    <w:multiLevelType w:val="hybridMultilevel"/>
    <w:tmpl w:val="B2E21A8E"/>
    <w:lvl w:ilvl="0" w:tplc="A1246C92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6EA3E74"/>
    <w:multiLevelType w:val="hybridMultilevel"/>
    <w:tmpl w:val="5638FC62"/>
    <w:lvl w:ilvl="0" w:tplc="A1246C9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8F57E2"/>
    <w:multiLevelType w:val="hybridMultilevel"/>
    <w:tmpl w:val="07964F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44C5575"/>
    <w:multiLevelType w:val="multilevel"/>
    <w:tmpl w:val="97B4772E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8"/>
    <w:rsid w:val="003D2627"/>
    <w:rsid w:val="00423AED"/>
    <w:rsid w:val="006D2BA8"/>
    <w:rsid w:val="00831C17"/>
    <w:rsid w:val="009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6326-C821-4A27-8F92-65136A4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627"/>
    <w:pPr>
      <w:keepNext/>
      <w:keepLines/>
      <w:spacing w:before="360"/>
      <w:ind w:left="113"/>
      <w:outlineLvl w:val="1"/>
    </w:pPr>
    <w:rPr>
      <w:rFonts w:eastAsiaTheme="majorEastAsia" w:cstheme="majorBidi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2627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627"/>
    <w:rPr>
      <w:rFonts w:ascii="Times New Roman" w:eastAsiaTheme="majorEastAsia" w:hAnsi="Times New Roman" w:cstheme="majorBidi"/>
      <w:b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2627"/>
    <w:rPr>
      <w:rFonts w:ascii="Times New Roman" w:eastAsiaTheme="majorEastAsia" w:hAnsi="Times New Roman" w:cstheme="majorBidi"/>
      <w:b/>
      <w:bCs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2627"/>
    <w:pPr>
      <w:spacing w:before="240"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</cp:revision>
  <dcterms:created xsi:type="dcterms:W3CDTF">2017-08-17T12:38:00Z</dcterms:created>
  <dcterms:modified xsi:type="dcterms:W3CDTF">2017-08-17T12:39:00Z</dcterms:modified>
</cp:coreProperties>
</file>